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</w:t>
      </w:r>
      <w:proofErr w:type="gramStart"/>
      <w:r w:rsidR="002A22BF" w:rsidRPr="004C0829">
        <w:rPr>
          <w:rFonts w:ascii="Corbel" w:hAnsi="Corbel"/>
          <w:bCs/>
          <w:i/>
        </w:rPr>
        <w:t xml:space="preserve">UR </w:t>
      </w:r>
      <w:r w:rsidRPr="004C0829">
        <w:rPr>
          <w:rFonts w:ascii="Corbel" w:hAnsi="Corbel"/>
          <w:bCs/>
          <w:i/>
        </w:rPr>
        <w:t xml:space="preserve"> nr</w:t>
      </w:r>
      <w:proofErr w:type="gramEnd"/>
      <w:r w:rsidRPr="004C0829">
        <w:rPr>
          <w:rFonts w:ascii="Corbel" w:hAnsi="Corbel"/>
          <w:bCs/>
          <w:i/>
        </w:rPr>
        <w:t xml:space="preserve">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7928A4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1889FCD9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216838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21683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D1E006" w:rsidR="0085747A" w:rsidRPr="004C0829" w:rsidRDefault="00CD33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Wykł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Konw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Sem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Prakt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FB0A251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BCF4F9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C0829">
        <w:rPr>
          <w:rFonts w:ascii="Corbel" w:hAnsi="Corbel"/>
          <w:smallCaps w:val="0"/>
          <w:szCs w:val="24"/>
        </w:rPr>
        <w:t xml:space="preserve">przedmiotu </w:t>
      </w:r>
      <w:r w:rsidRPr="004C0829">
        <w:rPr>
          <w:rFonts w:ascii="Corbel" w:hAnsi="Corbel"/>
          <w:smallCaps w:val="0"/>
          <w:szCs w:val="24"/>
        </w:rPr>
        <w:t xml:space="preserve"> (</w:t>
      </w:r>
      <w:proofErr w:type="gramEnd"/>
      <w:r w:rsidRPr="004C0829">
        <w:rPr>
          <w:rFonts w:ascii="Corbel" w:hAnsi="Corbel"/>
          <w:smallCaps w:val="0"/>
          <w:szCs w:val="24"/>
        </w:rPr>
        <w:t xml:space="preserve">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4C7AAE5" w:rsidR="00E960BB" w:rsidRDefault="00631B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7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Metody punktowe oceny ryzyka bankowego </w:t>
            </w:r>
            <w:proofErr w:type="gramStart"/>
            <w:r w:rsidRPr="004C0829">
              <w:rPr>
                <w:rFonts w:ascii="Corbel" w:hAnsi="Corbel"/>
                <w:sz w:val="24"/>
                <w:szCs w:val="24"/>
              </w:rPr>
              <w:t>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proofErr w:type="gram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Balanced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Scorecard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>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 xml:space="preserve">Możliwość wykorzystanie platformy MS </w:t>
      </w:r>
      <w:proofErr w:type="spellStart"/>
      <w:r w:rsidRPr="00EE3954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EE3954">
        <w:rPr>
          <w:rFonts w:ascii="Corbel" w:hAnsi="Corbel"/>
          <w:b w:val="0"/>
          <w:smallCaps w:val="0"/>
          <w:szCs w:val="20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0761834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6E5B9FC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 xml:space="preserve"> A., Credit scoring, </w:t>
            </w: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CeDeWu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Metodyczne aspekty kryteriów bankowej oceny kondycji finansowej przedsiębiorstwa [w:] „Prace Naukowe Uniwersytetu Ekonomicznego we Wrocławiu” nr 158,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Nowak M., Ocena zdolności kredytowej i ryzyka kredytowego – poradnik bankowca. Wydawnictwo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0DA6" w14:textId="77777777" w:rsidR="00322503" w:rsidRDefault="00322503" w:rsidP="00C16ABF">
      <w:pPr>
        <w:spacing w:after="0" w:line="240" w:lineRule="auto"/>
      </w:pPr>
      <w:r>
        <w:separator/>
      </w:r>
    </w:p>
  </w:endnote>
  <w:endnote w:type="continuationSeparator" w:id="0">
    <w:p w14:paraId="54CF5D21" w14:textId="77777777" w:rsidR="00322503" w:rsidRDefault="00322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EE73" w14:textId="77777777" w:rsidR="00322503" w:rsidRDefault="00322503" w:rsidP="00C16ABF">
      <w:pPr>
        <w:spacing w:after="0" w:line="240" w:lineRule="auto"/>
      </w:pPr>
      <w:r>
        <w:separator/>
      </w:r>
    </w:p>
  </w:footnote>
  <w:footnote w:type="continuationSeparator" w:id="0">
    <w:p w14:paraId="2D76E31E" w14:textId="77777777" w:rsidR="00322503" w:rsidRDefault="00322503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22503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3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82E43-ACD9-4481-B0D2-1BE291B21C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5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2022-09-20T17:53:00Z</dcterms:created>
  <dcterms:modified xsi:type="dcterms:W3CDTF">2022-09-20T17:53:00Z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